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质量标杆（企业类）申报表</w:t>
      </w:r>
    </w:p>
    <w:p>
      <w:pPr>
        <w:snapToGrid/>
        <w:spacing w:before="0" w:beforeAutospacing="0" w:after="0" w:afterAutospacing="0" w:line="240" w:lineRule="auto"/>
        <w:ind w:firstLine="783" w:firstLineChars="600"/>
        <w:jc w:val="both"/>
        <w:textAlignment w:val="baseline"/>
        <w:rPr>
          <w:rFonts w:ascii="黑体" w:hAnsi="黑体" w:eastAsia="黑体"/>
          <w:b/>
          <w:bCs/>
          <w:i w:val="0"/>
          <w:caps w:val="0"/>
          <w:spacing w:val="0"/>
          <w:w w:val="100"/>
          <w:sz w:val="13"/>
          <w:szCs w:val="13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推荐单位（公章）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: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tbl>
      <w:tblPr>
        <w:tblStyle w:val="2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59"/>
        <w:gridCol w:w="850"/>
        <w:gridCol w:w="425"/>
        <w:gridCol w:w="567"/>
        <w:gridCol w:w="284"/>
        <w:gridCol w:w="567"/>
        <w:gridCol w:w="992"/>
        <w:gridCol w:w="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7770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ind w:firstLine="6000" w:firstLineChars="25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标杆名称</w:t>
            </w:r>
          </w:p>
        </w:tc>
        <w:tc>
          <w:tcPr>
            <w:tcW w:w="7770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标杆方向</w:t>
            </w:r>
          </w:p>
        </w:tc>
        <w:tc>
          <w:tcPr>
            <w:tcW w:w="7770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质量管理方向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质量创新方向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“互联网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”应用方向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人</w:t>
            </w:r>
          </w:p>
        </w:tc>
        <w:tc>
          <w:tcPr>
            <w:tcW w:w="1959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3234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真</w:t>
            </w:r>
          </w:p>
        </w:tc>
        <w:tc>
          <w:tcPr>
            <w:tcW w:w="3685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通讯地址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916" w:firstLineChars="382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基本情况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</w:rPr>
              <w:t>（企业单位填写）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2019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从业人员（人）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0" w:type="dxa"/>
            <w:gridSpan w:val="10"/>
          </w:tcPr>
          <w:p>
            <w:pPr>
              <w:tabs>
                <w:tab w:val="left" w:pos="1438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企业近三年实施并获得显著成效的项目活动方向（对已开展并有效的项目打勾，有未列出项目可补充说明）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9180" w:type="dxa"/>
            <w:gridSpan w:val="10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质量管理方向：</w:t>
            </w:r>
            <w:r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□卓越绩效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□六西格玛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□精益生产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□国际标准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ind w:firstLine="2280" w:firstLineChars="95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□强制标准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QC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小组活动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□全面风险体系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5S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管理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ind w:firstLine="2280" w:firstLineChars="95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□班组建设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□品牌培育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□企业标准化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□流程梳理优化再选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其他引入创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的管理方法：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</w:p>
          <w:p>
            <w:pPr>
              <w:pStyle w:val="4"/>
              <w:numPr>
                <w:ilvl w:val="0"/>
                <w:numId w:val="1"/>
              </w:numPr>
              <w:snapToGrid/>
              <w:spacing w:before="0" w:beforeAutospacing="0" w:after="0" w:afterAutospacing="0" w:line="50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质量创新方向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□组织创新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□模式创新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□品牌创新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□标准创新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pStyle w:val="4"/>
              <w:tabs>
                <w:tab w:val="left" w:pos="312"/>
              </w:tabs>
              <w:snapToGrid/>
              <w:spacing w:before="0" w:beforeAutospacing="0" w:after="0" w:afterAutospacing="0" w:line="500" w:lineRule="exact"/>
              <w:ind w:firstLine="2160" w:firstLineChars="9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□战略创新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□文化创新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□协同创新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□机制创新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pStyle w:val="4"/>
              <w:snapToGrid/>
              <w:spacing w:before="0" w:beforeAutospacing="0" w:after="0" w:afterAutospacing="0" w:line="500" w:lineRule="exact"/>
              <w:ind w:firstLine="0" w:firstLineChars="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其他创新内容及活动：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</w:p>
          <w:p>
            <w:pPr>
              <w:pStyle w:val="4"/>
              <w:numPr>
                <w:ilvl w:val="0"/>
                <w:numId w:val="1"/>
              </w:numPr>
              <w:snapToGrid/>
              <w:spacing w:before="0" w:beforeAutospacing="0" w:after="0" w:afterAutospacing="0" w:line="500" w:lineRule="exact"/>
              <w:ind w:firstLine="420" w:firstLineChars="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互联网</w:t>
            </w:r>
            <w:r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应用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方向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：□智能化技术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□大数据收集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技术</w:t>
            </w:r>
          </w:p>
          <w:p>
            <w:pPr>
              <w:pStyle w:val="4"/>
              <w:snapToGrid/>
              <w:spacing w:before="0" w:beforeAutospacing="0" w:after="0" w:afterAutospacing="0" w:line="500" w:lineRule="exact"/>
              <w:ind w:left="420" w:firstLine="2400" w:firstLineChars="10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□信息化技术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□自动化技术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□物联网技术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其他互联网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应用的内容及技术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9" w:hRule="atLeast"/>
        </w:trPr>
        <w:tc>
          <w:tcPr>
            <w:tcW w:w="9180" w:type="dxa"/>
            <w:gridSpan w:val="10"/>
          </w:tcPr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企业基本情况及质量管理现状：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楷体" w:hAnsi="楷体" w:eastAsia="楷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黑体" w:hAns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质量标杆（车间、班组类）申报表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推荐单位（公章）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: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tbl>
      <w:tblPr>
        <w:tblStyle w:val="2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613"/>
        <w:gridCol w:w="850"/>
        <w:gridCol w:w="425"/>
        <w:gridCol w:w="851"/>
        <w:gridCol w:w="56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7424" w:type="dxa"/>
            <w:gridSpan w:val="7"/>
          </w:tcPr>
          <w:p>
            <w:pPr>
              <w:snapToGrid/>
              <w:spacing w:before="0" w:beforeAutospacing="0" w:after="0" w:afterAutospacing="0" w:line="500" w:lineRule="exact"/>
              <w:ind w:firstLine="5760" w:firstLineChars="24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车间（班组）全称</w:t>
            </w:r>
          </w:p>
        </w:tc>
        <w:tc>
          <w:tcPr>
            <w:tcW w:w="7424" w:type="dxa"/>
            <w:gridSpan w:val="7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标杆名称</w:t>
            </w:r>
          </w:p>
        </w:tc>
        <w:tc>
          <w:tcPr>
            <w:tcW w:w="7424" w:type="dxa"/>
            <w:gridSpan w:val="7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标杆方向</w:t>
            </w:r>
          </w:p>
        </w:tc>
        <w:tc>
          <w:tcPr>
            <w:tcW w:w="7424" w:type="dxa"/>
            <w:gridSpan w:val="7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质量管理方向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品牌培育方向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“互联网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”应用方向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人</w:t>
            </w:r>
          </w:p>
        </w:tc>
        <w:tc>
          <w:tcPr>
            <w:tcW w:w="1613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机</w:t>
            </w:r>
          </w:p>
        </w:tc>
        <w:tc>
          <w:tcPr>
            <w:tcW w:w="212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2888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真</w:t>
            </w:r>
          </w:p>
        </w:tc>
        <w:tc>
          <w:tcPr>
            <w:tcW w:w="3685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通讯地址</w:t>
            </w:r>
          </w:p>
        </w:tc>
        <w:tc>
          <w:tcPr>
            <w:tcW w:w="7424" w:type="dxa"/>
            <w:gridSpan w:val="7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ind w:firstLine="916" w:firstLineChars="382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80" w:type="dxa"/>
            <w:gridSpan w:val="8"/>
            <w:vAlign w:val="center"/>
          </w:tcPr>
          <w:p>
            <w:pPr>
              <w:widowControl/>
              <w:snapToGrid/>
              <w:spacing w:before="62" w:beforeAutospacing="0" w:after="62" w:afterAutospacing="0" w:line="36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车间（班组）近三年实施并获得显著成效的项目活动（对已开展并有效的项目打勾，有未列出项目可补充说明）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80" w:type="dxa"/>
            <w:gridSpan w:val="8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质量管理方向：□风险管理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精益生产之看板管理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□现场管理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ind w:firstLine="960" w:firstLineChars="4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□工艺管理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设备管理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物料管理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□成本管理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ind w:firstLine="960" w:firstLineChars="4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QC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小组活动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班组建设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□顾客满意度测评</w:t>
            </w: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其他自创的质量管理方法项目：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质量创新方向：□工艺创新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□技术创新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□方法工具创新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□组织创新</w:t>
            </w:r>
          </w:p>
          <w:p>
            <w:pPr>
              <w:snapToGrid/>
              <w:spacing w:before="0" w:beforeAutospacing="0" w:after="0" w:afterAutospacing="0" w:line="500" w:lineRule="exact"/>
              <w:ind w:firstLine="1920" w:firstLineChars="8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□标准创新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□品牌创新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□目标创新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□服务创新</w:t>
            </w:r>
          </w:p>
          <w:p>
            <w:pPr>
              <w:snapToGrid/>
              <w:spacing w:before="0" w:beforeAutospacing="0" w:after="0" w:afterAutospacing="0" w:line="500" w:lineRule="exact"/>
              <w:ind w:firstLine="1920" w:firstLineChars="8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□专利获取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□小发明、小创造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□技术改革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其他创新的方法项目：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ind w:hangingChars="952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应用方向：□数据库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□建设应用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□知识库建设应用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□智能工具开发□个性化程序及软件开发应用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□台账信息共享平台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500" w:lineRule="exact"/>
              <w:ind w:hangingChars="252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其他引入的独立开发应用的互联网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应用的项目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5" w:hRule="atLeast"/>
        </w:trPr>
        <w:tc>
          <w:tcPr>
            <w:tcW w:w="9180" w:type="dxa"/>
            <w:gridSpan w:val="8"/>
          </w:tcPr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企业基本情况及质量管理现状：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</w:t>
            </w:r>
          </w:p>
        </w:tc>
      </w:tr>
    </w:tbl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24"/>
          <w:szCs w:val="24"/>
        </w:rPr>
        <w:t>备注：针对班组可依照班组工作性质及特点，重点填写班组引入开展和自主开发的相关项目和方法内容。</w:t>
      </w:r>
    </w:p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3     </w:t>
      </w: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2021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年质量标杆遴选说明与申报标准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</w:rPr>
        <w:tab/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一、申报说明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（一）</w: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质量标杆是指工业企业应用先进质量管理理念、方法、工具或互联网手段，在企业、车间、班组开展质量管理和改进创新活动，以提高质量水平、提升经营绩效的典型经验。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申报主体为：工业企业，包括信息、软件及相关技术性服务企业、车间、班组。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（二）</w:t>
      </w:r>
      <w:r>
        <w:rPr>
          <w:rFonts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年质量标杆的申报方向分为质量管理、质量创新和“互联网</w:t>
      </w:r>
      <w:r>
        <w:rPr>
          <w:rFonts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+</w: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”应用三个方向。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二、</w:t>
      </w: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2021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年度质量标杆重点遴选方向</w:t>
      </w:r>
    </w:p>
    <w:p>
      <w:pPr>
        <w:numPr>
          <w:ilvl w:val="0"/>
          <w:numId w:val="3"/>
        </w:num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质量管理方向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应用全面质量管理及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卓越绩效、六西格玛、可靠性、精益生产、国际标准、顾客满意度测评、等先进质量管理理念、方法、工具，促进质量变革、效率变革和动力变革，提高质量效益，实现高质量发展的典型经验。</w:t>
      </w:r>
    </w:p>
    <w:p>
      <w:pPr>
        <w:snapToGrid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风险管理、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精益生产之看板管理、现场管理、工艺管理、设备管理、物料管理、成本管理、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QC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、班组建设、顾客满意度测评等提高质量水平，实现质量提升的典型经验。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（二）质量创新方向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实施创新驱动发展战略，加强协同创新、品牌创新和标准创新，通过加强体制机制创新、创新发展模式、激发发展新动能，促进产品或服务质量明显提升，在质量管理和质量提升方面具有显著成效的典型经验。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工艺创新、技术创新、方法工具创新、组织创新、标准创新、品牌创新、目标创新、服务创新、专利获取、小发明、小创造、技术改革等具有显著成效的质量改进和创新方法的典型经验。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（三）“互联网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+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”应用方向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运用大数据、互联网、智能化等新技术手段提升产品和服务质量，提高顾客满意水平和企业效益，促进模式创新的典型经验。</w:t>
      </w:r>
    </w:p>
    <w:p>
      <w:pPr>
        <w:snapToGrid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数据库建设应用、知识库建设应用、智能工具开发、个性化程序及软件开发应用、台账信息共享平台促进管理水平提升的典型经验及方法。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三、遴选标准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质量标杆应符合以下标准：</w:t>
      </w:r>
    </w:p>
    <w:p>
      <w:pPr>
        <w:numPr>
          <w:ilvl w:val="0"/>
          <w:numId w:val="4"/>
        </w:num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科学性和创新性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所应用的管理方法（技术）符合科学规律，符合质量管理基本规律。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在管理方法（技术）本身或应用过程中有创新性经验（成果）。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（二）系统性和示范性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典型经验应已在企业、车间、班组成熟应用，经验介绍逻辑清晰、内容完整，能展示管理方法（技术）的系统性应用情况，包括相关的组织管理、政策制度、资源保障和实施过程等。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（三）显效性和发展性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以相关数据和事实说明，通过应用该管理方法（技术），企业的质量和效益水平得到明显提升。鼓励展示连续多年数据，以及与竞争对手和标杆的对比数据，以说明在同行业、车间、班组中处于领先水平。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有证据表明，应用该管理方法（技术）提升企业、车间、班组质量管控能力的典型经验，在同行业的企业、车间、班组中具有普遍适用性和可借鉴性。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Fonts w:ascii="黑体" w:hAnsi="楷体" w:eastAsia="黑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4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楷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highlight w:val="yellow"/>
        </w:rPr>
      </w:pPr>
      <w:r>
        <w:rPr>
          <w:rFonts w:hint="eastAsia" w:ascii="方正小标宋简体" w:hAnsi="宋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质量标杆总结材料编写说明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黑体" w:hAnsi="楷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楷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一、总结材料内容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（一）质量标杆名称</w:t>
      </w:r>
    </w:p>
    <w:p>
      <w:pPr>
        <w:widowControl/>
        <w:snapToGrid w:val="0"/>
        <w:spacing w:before="0" w:beforeAutospacing="0" w:after="0" w:afterAutospacing="0" w:line="580" w:lineRule="exact"/>
        <w:ind w:firstLine="560"/>
        <w:jc w:val="both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质量标杆名称应体现典型经验的特征。命名规则为：（企业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/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车间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/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班组）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+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（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典型方法技术）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+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经验）。如：××集团公司实施六西格玛设计的经验。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（二）摘要（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500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_GB2312" w:hAnsi="楷体_GB2312" w:eastAsia="楷体_GB2312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简要介绍应用的管理方法（技术）、推进过程、特色亮点、主要成果，以及该经验所获得的评价或认可。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（三）企业、车间、班组概况（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500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简要介绍企业性质、创建时间、历史沿革；所属行业、主要业务范围、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（四）应用该管理方法（技术）的背景（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800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如何为解决企业存在的主要问题，根据内外部环境的变化，确定并实施了该管理方法（技术）。</w:t>
      </w:r>
    </w:p>
    <w:p>
      <w:pPr>
        <w:widowControl/>
        <w:snapToGrid w:val="0"/>
        <w:spacing w:before="0" w:beforeAutospacing="0" w:after="0" w:afterAutospacing="0" w:line="580" w:lineRule="exact"/>
        <w:ind w:firstLine="562"/>
        <w:jc w:val="both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（五）管理方法（技术）的推进和实施情况（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8000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720" w:firstLineChars="225"/>
        <w:jc w:val="both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介绍企业推进该管理方法（技术）的步骤、过程、制度、体制、机制，做法和内容等，重点体现实施要点、特色亮点。要求内容详实、逻辑清楚、重点突出，宜图文并茂，适当举例。</w:t>
      </w:r>
    </w:p>
    <w:p>
      <w:pPr>
        <w:widowControl/>
        <w:snapToGrid w:val="0"/>
        <w:spacing w:before="0" w:beforeAutospacing="0" w:after="0" w:afterAutospacing="0" w:line="580" w:lineRule="exact"/>
        <w:ind w:firstLine="643" w:firstLineChars="200"/>
        <w:jc w:val="left"/>
        <w:textAlignment w:val="baseline"/>
        <w:rPr>
          <w:rFonts w:ascii="楷体" w:hAnsi="楷体" w:eastAsia="楷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（六）管理方法（技术）的实施效果（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2000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楷体_GB2312" w:hAnsi="楷体_GB2312" w:eastAsia="楷体_GB2312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定量数据与定性指标相结合展示与典型经验相关的绩效结果，如经济效益、管理效益、社会效益等。可提供相关指标的运行数据，可与竞争对手和标杆作适当对比。</w:t>
      </w:r>
    </w:p>
    <w:p>
      <w:pPr>
        <w:widowControl/>
        <w:snapToGrid w:val="0"/>
        <w:spacing w:before="0" w:beforeAutospacing="0" w:after="0" w:afterAutospacing="0" w:line="580" w:lineRule="exact"/>
        <w:ind w:firstLine="643" w:firstLineChars="200"/>
        <w:jc w:val="left"/>
        <w:textAlignment w:val="baseline"/>
        <w:rPr>
          <w:rFonts w:ascii="楷体" w:hAnsi="楷体" w:eastAsia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（七）管理方法（技术）的推广应用（</w:t>
      </w:r>
      <w:r>
        <w:rPr>
          <w:rFonts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800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2"/>
          <w:szCs w:val="32"/>
        </w:rPr>
        <w:t>字以内）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该管理方法（技术）在行业内推广的适用性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</w:t>
      </w: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对外交流和分享经验的思考等。</w:t>
      </w: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黑体" w:hAnsi="楷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楷体" w:eastAsia="黑体" w:cs="黑体"/>
          <w:b w:val="0"/>
          <w:i w:val="0"/>
          <w:caps w:val="0"/>
          <w:spacing w:val="0"/>
          <w:w w:val="100"/>
          <w:sz w:val="32"/>
          <w:szCs w:val="32"/>
        </w:rPr>
        <w:t>二、证实性材料内容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1.</w:t>
      </w: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组织合法经营的证明；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2.</w:t>
      </w: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近三年获得市级以上质量相关荣誉证书复印件；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3.</w:t>
      </w:r>
      <w:r>
        <w:rPr>
          <w:rFonts w:hint="eastAsia" w:ascii="仿宋_GB2312" w:hAnsi="楷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单位认为还应提供的其他证实性材料等。</w:t>
      </w: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黑体" w:hAnsi="楷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楷体" w:eastAsia="黑体" w:cs="黑体"/>
          <w:b w:val="0"/>
          <w:i w:val="0"/>
          <w:caps w:val="0"/>
          <w:spacing w:val="0"/>
          <w:w w:val="100"/>
          <w:sz w:val="32"/>
          <w:szCs w:val="32"/>
        </w:rPr>
        <w:t>三、总结材料的格式要求</w:t>
      </w:r>
    </w:p>
    <w:p>
      <w:pPr>
        <w:widowControl/>
        <w:snapToGrid/>
        <w:spacing w:before="0" w:beforeAutospacing="0" w:after="0" w:afterAutospacing="0" w:line="580" w:lineRule="exact"/>
        <w:ind w:firstLine="56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质量标杆典型经验总结材料（以下简称总结材料）应突出主题事项，体现典型经验的理论观点、方法特点、实践要点以及效果亮点，编写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内容应详实、言之有物，逻辑清楚、重点突出、图文并茂。</w:t>
      </w:r>
    </w:p>
    <w:p>
      <w:pPr>
        <w:widowControl/>
        <w:snapToGrid/>
        <w:spacing w:before="0" w:beforeAutospacing="0" w:after="0" w:afterAutospacing="0" w:line="580" w:lineRule="exact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总结材料应采用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A4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幅面纵向编辑。文章标题为黑体小二号，二级标题宋体四号字加粗，三级标题宋体小四号加粗，正文宋体小四号，单倍行距。附表标题放置附表上方居中，插图标题放置插图下方居中</w:t>
      </w:r>
      <w:r>
        <w:rPr>
          <w:rFonts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,</w:t>
      </w:r>
      <w:r>
        <w:rPr>
          <w:rFonts w:hint="eastAsia" w:ascii="仿宋_GB2312" w:hAnsi="楷体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图表按类别统一编号，附表及插图标题为宋体五号字加粗。</w:t>
      </w:r>
    </w:p>
    <w:p>
      <w:pPr>
        <w:widowControl/>
        <w:numPr>
          <w:ilvl w:val="0"/>
          <w:numId w:val="5"/>
        </w:numPr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质量标杆经验PPT编写</w:t>
      </w:r>
    </w:p>
    <w:p>
      <w:pPr>
        <w:widowControl/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进入答辩评审的单位，需按以下要求准备PPT材料。</w:t>
      </w:r>
    </w:p>
    <w:p>
      <w:pPr>
        <w:widowControl/>
        <w:numPr>
          <w:ilvl w:val="0"/>
          <w:numId w:val="6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按照质量标杆总结材料的内容图文并茂的表现在PPT文件上，重点突出管理方法（技术）的创新性经验（成果）、系统性应用及取得的效益、示范推广意义。</w:t>
      </w:r>
    </w:p>
    <w:p>
      <w:pPr>
        <w:widowControl/>
        <w:numPr>
          <w:ilvl w:val="0"/>
          <w:numId w:val="6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PPT演示总时间不超过20分钟。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80" w:lineRule="exact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600" w:lineRule="atLeast"/>
        <w:ind w:firstLine="640" w:firstLineChars="200"/>
        <w:jc w:val="left"/>
        <w:textAlignment w:val="baseline"/>
        <w:rPr>
          <w:rFonts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1C6EC"/>
    <w:multiLevelType w:val="singleLevel"/>
    <w:tmpl w:val="9151C6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1E2A55"/>
    <w:multiLevelType w:val="singleLevel"/>
    <w:tmpl w:val="A71E2A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589B9D"/>
    <w:multiLevelType w:val="singleLevel"/>
    <w:tmpl w:val="E1589B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79EBDC1"/>
    <w:multiLevelType w:val="singleLevel"/>
    <w:tmpl w:val="579EBDC1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579EBFA2"/>
    <w:multiLevelType w:val="singleLevel"/>
    <w:tmpl w:val="579EBFA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1E4D"/>
    <w:rsid w:val="206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2021-01-04T07:21:00Z</dcterms:created>
  <dc:creator>上官若忆</dc:creator>
  <cp:lastModifiedBy>上官若忆</cp:lastModifiedBy>
  <dcterms:modified xsi:type="dcterms:W3CDTF">2021-01-04T07:21:46Z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